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326308" w:rsidRPr="007C539C" w:rsidRDefault="00326308" w:rsidP="00326308">
      <w:pPr>
        <w:tabs>
          <w:tab w:val="left" w:pos="5529"/>
        </w:tabs>
        <w:spacing w:after="0" w:line="360" w:lineRule="auto"/>
        <w:jc w:val="center"/>
        <w:rPr>
          <w:rFonts w:ascii="Times New Roman" w:eastAsia="Times New Roman" w:hAnsi="Times New Roman"/>
          <w:b/>
          <w:iCs/>
          <w:smallCaps/>
          <w:sz w:val="24"/>
          <w:szCs w:val="24"/>
          <w:lang w:eastAsia="ru-RU"/>
        </w:rPr>
      </w:pPr>
      <w:r w:rsidRPr="007C539C">
        <w:rPr>
          <w:rFonts w:ascii="Times New Roman" w:eastAsia="Times New Roman" w:hAnsi="Times New Roman"/>
          <w:b/>
          <w:iCs/>
          <w:smallCaps/>
          <w:sz w:val="24"/>
          <w:szCs w:val="24"/>
          <w:lang w:eastAsia="ru-RU"/>
        </w:rPr>
        <w:t>ОП.02 ИНФОРМАЦИОННЫЕ ТЕХНОЛОГИИ В ПРОФЕССИОНАЛЬНОЙ ДЕЯТЕЛЬНОСТИ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комиссией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________Крашакова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>Малахова М.В., Якушева Л.В. преподаватели ГБПОУ ЮУрГТК</w:t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326308" w:rsidRPr="00326308">
        <w:rPr>
          <w:rFonts w:ascii="Times New Roman" w:hAnsi="Times New Roman"/>
          <w:b/>
          <w:bCs/>
          <w:spacing w:val="3"/>
          <w:sz w:val="24"/>
          <w:szCs w:val="24"/>
        </w:rPr>
        <w:t>Информационные технологии в профессиональной деятельности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326308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326308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CE3E7F" w:rsidRPr="00CE3E7F">
        <w:rPr>
          <w:rFonts w:ascii="Times New Roman" w:hAnsi="Times New Roman"/>
          <w:b/>
          <w:caps/>
          <w:sz w:val="28"/>
          <w:szCs w:val="28"/>
        </w:rPr>
        <w:t>Информационные технологии в профессиональной деятельности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326308">
        <w:rPr>
          <w:rFonts w:ascii="Times New Roman" w:hAnsi="Times New Roman"/>
          <w:sz w:val="28"/>
          <w:szCs w:val="28"/>
        </w:rPr>
        <w:t>2</w:t>
      </w:r>
      <w:r w:rsidR="00594575" w:rsidRPr="00E80C7D">
        <w:rPr>
          <w:rFonts w:ascii="Times New Roman" w:hAnsi="Times New Roman"/>
          <w:sz w:val="28"/>
          <w:szCs w:val="28"/>
        </w:rPr>
        <w:t xml:space="preserve"> </w:t>
      </w:r>
      <w:r w:rsidR="00326308" w:rsidRPr="00326308">
        <w:rPr>
          <w:rFonts w:ascii="Times New Roman" w:hAnsi="Times New Roman"/>
          <w:sz w:val="28"/>
          <w:szCs w:val="28"/>
        </w:rPr>
        <w:t>Информационные технологии в профессиональной деятельности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326308" w:rsidRPr="00326308" w:rsidRDefault="00326308" w:rsidP="00326308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sz w:val="28"/>
                <w:szCs w:val="28"/>
              </w:rPr>
              <w:t>ПК 1.1 – ПК 1.6, ПК 2.1 – ПК 2.4, ПК 3.1 – ПК 3.4, ПК 4.1 – ПК 4.4, ОК 02, ОК 03,</w:t>
            </w:r>
          </w:p>
          <w:p w:rsidR="00DB37C0" w:rsidRDefault="00326308" w:rsidP="00326308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sz w:val="28"/>
                <w:szCs w:val="28"/>
              </w:rPr>
              <w:t>ОК 09</w:t>
            </w:r>
          </w:p>
          <w:p w:rsidR="00BB174B" w:rsidRDefault="00BB174B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использовать информационные ресурсы для поиска и хранения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применять антивирусные средства защиты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пользоваться автоматизированными системами делопроизводства;</w:t>
            </w:r>
          </w:p>
          <w:p w:rsidR="00770404" w:rsidRPr="00796A81" w:rsidRDefault="00326308" w:rsidP="00326308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iCs/>
                <w:sz w:val="24"/>
                <w:szCs w:val="24"/>
              </w:rPr>
              <w:t>применять методы и средства защиты информации.</w:t>
            </w:r>
          </w:p>
        </w:tc>
        <w:tc>
          <w:tcPr>
            <w:tcW w:w="4359" w:type="dxa"/>
          </w:tcPr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методы и средства обработки, хранения, передачи и накопления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назначение, состав, основные характеристики компьютера;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назначение и принципы использования системного и прикладного программного обеспечения;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технологию поиска информации в информационно-телекоммуникационной сети "Интернет" (далее - сеть Интернет);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принципы защиты информации от несанкционированного доступа;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правовые аспекты использования информационных технологий и программного обеспечения;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понятия автоматизированной обработки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назначение, принципы организации и эксплуатации информационных </w:t>
            </w: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систем;</w:t>
            </w:r>
          </w:p>
          <w:p w:rsidR="00770404" w:rsidRPr="00796A81" w:rsidRDefault="00326308" w:rsidP="00326308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iCs/>
                <w:sz w:val="24"/>
                <w:szCs w:val="24"/>
              </w:rPr>
              <w:t>основные угрозы и методы обеспечения информационной безопасности.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326308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326308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326308">
        <w:rPr>
          <w:rFonts w:ascii="Times New Roman" w:hAnsi="Times New Roman"/>
          <w:sz w:val="28"/>
          <w:szCs w:val="28"/>
        </w:rPr>
        <w:t>42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326308">
        <w:rPr>
          <w:rFonts w:ascii="Times New Roman" w:hAnsi="Times New Roman"/>
          <w:sz w:val="28"/>
          <w:szCs w:val="28"/>
        </w:rPr>
        <w:t>42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3263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326308">
              <w:rPr>
                <w:rFonts w:ascii="Times New Roman" w:hAnsi="Times New Roman"/>
                <w:b/>
                <w:sz w:val="28"/>
                <w:szCs w:val="28"/>
              </w:rPr>
              <w:t>дифференцированного зачета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326308" w:rsidRPr="00326308">
        <w:rPr>
          <w:b/>
          <w:caps/>
          <w:sz w:val="28"/>
          <w:szCs w:val="28"/>
          <w:u w:val="single"/>
        </w:rPr>
        <w:t>Информационные технологии в профессиональной деятельности</w:t>
      </w:r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9697"/>
        <w:gridCol w:w="1441"/>
        <w:gridCol w:w="2145"/>
      </w:tblGrid>
      <w:tr w:rsidR="00326308" w:rsidRPr="007C539C" w:rsidTr="00326308">
        <w:trPr>
          <w:trHeight w:val="20"/>
        </w:trPr>
        <w:tc>
          <w:tcPr>
            <w:tcW w:w="622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ак. ч / в том числе </w:t>
            </w: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в форме практической подготовки, ак. ч</w:t>
            </w:r>
          </w:p>
        </w:tc>
        <w:tc>
          <w:tcPr>
            <w:tcW w:w="707" w:type="pct"/>
            <w:vAlign w:val="center"/>
          </w:tcPr>
          <w:p w:rsidR="00326308" w:rsidRPr="00116801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3</w:t>
            </w:r>
          </w:p>
        </w:tc>
        <w:tc>
          <w:tcPr>
            <w:tcW w:w="707" w:type="pct"/>
            <w:vAlign w:val="center"/>
          </w:tcPr>
          <w:p w:rsidR="00326308" w:rsidRPr="00116801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707" w:type="pct"/>
            <w:vMerge w:val="restart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</w:t>
            </w: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Цели, задачи дисциплины, место в профессиональной деятельности</w:t>
            </w:r>
            <w:r w:rsidRPr="007C539C">
              <w:rPr>
                <w:rFonts w:ascii="Times New Roman" w:hAnsi="Times New Roman"/>
                <w:bCs/>
                <w:lang w:eastAsia="ru-RU"/>
              </w:rPr>
              <w:t>.</w:t>
            </w: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 Техника безопасности и порядок работы в кабинете.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7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26308" w:rsidRPr="007C539C" w:rsidTr="00326308">
        <w:trPr>
          <w:trHeight w:val="20"/>
        </w:trPr>
        <w:tc>
          <w:tcPr>
            <w:tcW w:w="5000" w:type="pct"/>
            <w:gridSpan w:val="4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Раздел 1. Информационные технологии в профессиональной сфере                                                                                                        </w:t>
            </w:r>
          </w:p>
        </w:tc>
      </w:tr>
      <w:tr w:rsidR="00326308" w:rsidRPr="007C539C" w:rsidTr="00326308">
        <w:trPr>
          <w:trHeight w:val="201"/>
        </w:trPr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1.1.</w:t>
            </w:r>
          </w:p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Понятие и сущность информационных систем и технологий</w:t>
            </w:r>
          </w:p>
        </w:tc>
        <w:tc>
          <w:tcPr>
            <w:tcW w:w="3196" w:type="pct"/>
            <w:tcBorders>
              <w:bottom w:val="single" w:sz="4" w:space="0" w:color="auto"/>
            </w:tcBorders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326308" w:rsidRPr="007C539C" w:rsidTr="00326308">
        <w:trPr>
          <w:trHeight w:val="605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57"/>
                <w:tab w:val="left" w:pos="1061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Понятия информации, информационной технологии, информационной системы. Классификация и состав информационных систем. Понятие качества информационных процессов. Жизненный цикл информационных систем.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26308" w:rsidRPr="007C539C" w:rsidTr="00326308">
        <w:trPr>
          <w:trHeight w:val="416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57"/>
                <w:tab w:val="left" w:pos="1061"/>
                <w:tab w:val="left" w:pos="5529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Применение информационных технологий в профессиональной деятельности. Способы обработки, хранения, передачи и накопления информации. Операции обработки информации. Общие положения по техническому и программному обеспечению информационных технологий. 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CE3E7F" w:rsidRPr="007C539C" w:rsidTr="00CE3E7F">
        <w:trPr>
          <w:trHeight w:val="20"/>
        </w:trPr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707" w:type="pct"/>
            <w:vMerge w:val="restart"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CE3E7F" w:rsidRPr="007C539C" w:rsidTr="00CE3E7F">
        <w:trPr>
          <w:trHeight w:val="20"/>
        </w:trPr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CE3E7F">
        <w:trPr>
          <w:trHeight w:val="597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1 «Анализ информационных систем и технологий, применяемых в профессиональной деятельности»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  <w:vMerge w:val="restart"/>
          </w:tcPr>
          <w:p w:rsidR="00326308" w:rsidRPr="007C539C" w:rsidRDefault="00326308" w:rsidP="00326308">
            <w:pPr>
              <w:shd w:val="clear" w:color="auto" w:fill="FFFFFF"/>
              <w:tabs>
                <w:tab w:val="left" w:pos="5529"/>
              </w:tabs>
              <w:spacing w:after="0" w:line="240" w:lineRule="auto"/>
              <w:ind w:right="79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1.2.</w:t>
            </w:r>
          </w:p>
          <w:p w:rsidR="00326308" w:rsidRPr="007C539C" w:rsidRDefault="00326308" w:rsidP="00326308">
            <w:pPr>
              <w:shd w:val="clear" w:color="auto" w:fill="FFFFFF"/>
              <w:tabs>
                <w:tab w:val="left" w:pos="5529"/>
              </w:tabs>
              <w:spacing w:after="0" w:line="240" w:lineRule="auto"/>
              <w:ind w:right="79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Техническое обеспечение информационных технологий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326308" w:rsidRPr="007C539C" w:rsidTr="00326308">
        <w:trPr>
          <w:trHeight w:val="276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357"/>
                <w:tab w:val="left" w:pos="5529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Принципы классификации компьютеров. Архитектура персонального компьютера. Основные характеристики системных блоков и мониторов. Классификация печатающих устройств. Состав периферийных устройств: сканеры, копиры, электронные планшеты, веб-камеры и т.д.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CE3E7F" w:rsidRPr="007C539C" w:rsidTr="00CE3E7F">
        <w:trPr>
          <w:trHeight w:val="20"/>
        </w:trPr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vMerge w:val="restart"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CE3E7F" w:rsidRPr="007C539C" w:rsidTr="00CE3E7F">
        <w:trPr>
          <w:trHeight w:val="20"/>
        </w:trPr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26308" w:rsidRPr="007C539C" w:rsidTr="00CE3E7F">
        <w:trPr>
          <w:trHeight w:val="867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2 «Персональный компьютер и его составные части. Тестирование устройств персонального компьютера с описанием их назначения».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1.3.</w:t>
            </w:r>
          </w:p>
          <w:p w:rsidR="00326308" w:rsidRPr="007C539C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Программное обеспечение информационных технологий</w:t>
            </w:r>
          </w:p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3"/>
              </w:numPr>
              <w:tabs>
                <w:tab w:val="left" w:pos="498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Понятие платформы программного обеспечения. Сравнительная характеристика используемых платформ. 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3"/>
              </w:numPr>
              <w:tabs>
                <w:tab w:val="left" w:pos="498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Программы – утилиты. 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3"/>
              </w:numPr>
              <w:tabs>
                <w:tab w:val="left" w:pos="498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Классификация и направления использования прикладного программного обеспечения для решения прикладных задач, перспективы его развития.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 w:val="restart"/>
            <w:shd w:val="clear" w:color="auto" w:fill="BFBFBF" w:themeFill="background1" w:themeFillShade="BF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CE3E7F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3 «Прикладное программное обеспечение: файловые менеджеры, программы-архиваторы, утилиты».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1.4. Компьютерные вирусы. Антивирусы. Защита информации в информационных системах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4"/>
              </w:numPr>
              <w:tabs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Понятие компьютерного вируса, защиты информации и информационной безопасности. Принципы и способы защиты информации в информационных системах.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4"/>
              </w:numPr>
              <w:tabs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Характеристика угроз безопасности информации и их источников. Методы обеспечения информационной безопасности. 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i/>
                <w:lang w:eastAsia="ru-RU"/>
              </w:rPr>
              <w:t>8</w:t>
            </w:r>
          </w:p>
        </w:tc>
        <w:tc>
          <w:tcPr>
            <w:tcW w:w="707" w:type="pct"/>
            <w:vMerge w:val="restart"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8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4 «Принципы защиты информации от несанкционированного доступа. Правовое обеспечение применения информационных технологий и защиты информации».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CE3E7F">
        <w:trPr>
          <w:trHeight w:val="557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5 «Организация защиты информации на персональном компьютере».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c>
          <w:tcPr>
            <w:tcW w:w="5000" w:type="pct"/>
            <w:gridSpan w:val="4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Раздел 2. Телекоммуникационные технологии                                                                                                                                      </w:t>
            </w:r>
          </w:p>
        </w:tc>
      </w:tr>
      <w:tr w:rsidR="00326308" w:rsidRPr="007C539C" w:rsidTr="00326308"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2.1. Представления о технических и программных средствах телекоммуникационных </w:t>
            </w: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технологий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1C2B10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</w:p>
        </w:tc>
      </w:tr>
      <w:tr w:rsidR="00326308" w:rsidRPr="007C539C" w:rsidTr="00326308">
        <w:trPr>
          <w:trHeight w:val="1189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35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73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</w:t>
            </w: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компьютерами. Проводная и беспроводная связь.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326308">
        <w:trPr>
          <w:trHeight w:val="361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35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73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2. Методы создания и сопровождения сайта.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326308">
        <w:trPr>
          <w:trHeight w:val="1529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Браузер. Примеры работы с интернет-магазином,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</w:t>
            </w: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  <w:p w:rsidR="00326308" w:rsidRPr="007C539C" w:rsidRDefault="00326308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475" w:type="pct"/>
            <w:vMerge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bookmarkStart w:id="0" w:name="_GoBack"/>
        <w:bookmarkEnd w:id="0"/>
      </w:tr>
      <w:tr w:rsidR="00CE3E7F" w:rsidRPr="007C539C" w:rsidTr="00CE3E7F">
        <w:trPr>
          <w:trHeight w:val="15"/>
        </w:trPr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  <w:vMerge w:val="restar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16</w:t>
            </w:r>
          </w:p>
        </w:tc>
        <w:tc>
          <w:tcPr>
            <w:tcW w:w="707" w:type="pct"/>
            <w:vMerge/>
            <w:shd w:val="clear" w:color="auto" w:fill="auto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CE3E7F" w:rsidRPr="007C539C" w:rsidTr="00CE3E7F">
        <w:trPr>
          <w:trHeight w:val="240"/>
        </w:trPr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  <w:vMerge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75" w:type="pct"/>
            <w:vAlign w:val="center"/>
          </w:tcPr>
          <w:p w:rsidR="00CE3E7F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 w:val="restart"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CE3E7F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6 «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Работа с поисковыми системами, электронной почтой».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7 «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Создание сайта-визитки средствами онлайн-редактора».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8 «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 xml:space="preserve">Использование сервисов </w:t>
            </w:r>
            <w:r w:rsidRPr="007C539C">
              <w:rPr>
                <w:rFonts w:ascii="Times New Roman" w:eastAsia="Times New Roman" w:hAnsi="Times New Roman"/>
                <w:lang w:eastAsia="ru-RU"/>
              </w:rPr>
              <w:t>Google Docs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 xml:space="preserve"> для совместной работы с документами».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326308">
        <w:tc>
          <w:tcPr>
            <w:tcW w:w="5000" w:type="pct"/>
            <w:gridSpan w:val="4"/>
          </w:tcPr>
          <w:p w:rsidR="00326308" w:rsidRPr="007C539C" w:rsidRDefault="00326308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Раздел 3. Информационные системы автоматизации профессиональной деятельности                                                  </w:t>
            </w:r>
          </w:p>
        </w:tc>
      </w:tr>
      <w:tr w:rsidR="00326308" w:rsidRPr="007C539C" w:rsidTr="00326308"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>Тема 3.1</w:t>
            </w:r>
          </w:p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>Технология работы с программным обеспечением автоматизации проектирования Autodesk AutoCad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1C2B10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  <w:tc>
          <w:tcPr>
            <w:tcW w:w="707" w:type="pct"/>
            <w:vMerge w:val="restart"/>
            <w:vAlign w:val="center"/>
          </w:tcPr>
          <w:p w:rsidR="00326308" w:rsidRPr="007C539C" w:rsidRDefault="00CE3E7F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5"/>
              </w:numPr>
              <w:tabs>
                <w:tab w:val="left" w:pos="357"/>
                <w:tab w:val="left" w:pos="5529"/>
              </w:tabs>
              <w:suppressAutoHyphens/>
              <w:spacing w:after="0" w:line="240" w:lineRule="auto"/>
              <w:ind w:hanging="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Знакомство с интерфейсом графической среды AutoCad. Интерфейс. Особенности сохранения чертежей. Виды курсоров.</w:t>
            </w:r>
          </w:p>
          <w:p w:rsidR="00326308" w:rsidRPr="007C539C" w:rsidRDefault="00326308" w:rsidP="00326308">
            <w:pPr>
              <w:tabs>
                <w:tab w:val="left" w:pos="35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Панели инструментов. Возможности объектной привязки. Маркеры. Строка состояний. Командная строка. Опции командной строки. Режимы ввода. Особенности выбора объектов.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5"/>
              </w:numPr>
              <w:tabs>
                <w:tab w:val="left" w:pos="357"/>
                <w:tab w:val="left" w:pos="5529"/>
              </w:tabs>
              <w:suppressAutoHyphens/>
              <w:spacing w:after="0" w:line="240" w:lineRule="auto"/>
              <w:ind w:hanging="7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Средства пространственной ориентации. Динамическая настройка визуального представления объектов. Пользовательские системы координат. Моровая система координат. Ввод координат.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326308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numPr>
                <w:ilvl w:val="0"/>
                <w:numId w:val="25"/>
              </w:numPr>
              <w:tabs>
                <w:tab w:val="left" w:pos="357"/>
                <w:tab w:val="left" w:pos="5529"/>
              </w:tabs>
              <w:suppressAutoHyphens/>
              <w:spacing w:after="0" w:line="240" w:lineRule="auto"/>
              <w:ind w:hanging="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Построение примитивов с помощью элементарных команд в графической среде AutoCad. Методы построения углов. Полилинии. Построение сопряжений в графической среде AutoCad. Многообразие примитивов графической среды AutoCad, их применение в чертежах. Создание слоев и особенности работы с ними. Объекты-ссылки. Создание и вставка блоков. Файлы-шаблоны.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 w:val="restart"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CE3E7F" w:rsidRPr="007C539C" w:rsidTr="00CE3E7F">
        <w:tc>
          <w:tcPr>
            <w:tcW w:w="622" w:type="pct"/>
            <w:vMerge/>
          </w:tcPr>
          <w:p w:rsidR="00CE3E7F" w:rsidRPr="007C539C" w:rsidRDefault="00CE3E7F" w:rsidP="00CE3E7F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CE3E7F" w:rsidRPr="00116801" w:rsidRDefault="00CE3E7F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</w:tcPr>
          <w:p w:rsidR="00CE3E7F" w:rsidRDefault="00CE3E7F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CE3E7F" w:rsidRPr="007C539C" w:rsidRDefault="00CE3E7F" w:rsidP="00CE3E7F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9 «</w:t>
            </w: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Работа с примитивами, создание элементарного чертежа: Команды построения элементарных геометрических элементов. Команды редактирования объектов. Простейшие элементы простановки размеров. Коды основных символов. Панель инструментов «Свойства объектов». Веса линий. Типы линий.»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CE3E7F"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ind w:left="69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10 «</w:t>
            </w: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Использование графической среды AutoCad в профессиональной </w:t>
            </w: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области»</w:t>
            </w:r>
          </w:p>
        </w:tc>
        <w:tc>
          <w:tcPr>
            <w:tcW w:w="475" w:type="pc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2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26308" w:rsidRPr="007C539C" w:rsidTr="00CE3E7F">
        <w:trPr>
          <w:trHeight w:val="20"/>
        </w:trPr>
        <w:tc>
          <w:tcPr>
            <w:tcW w:w="3818" w:type="pct"/>
            <w:gridSpan w:val="2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Промежуточная аттестация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326308" w:rsidRPr="007C539C" w:rsidTr="00CE3E7F">
        <w:trPr>
          <w:trHeight w:val="20"/>
        </w:trPr>
        <w:tc>
          <w:tcPr>
            <w:tcW w:w="3818" w:type="pct"/>
            <w:gridSpan w:val="2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Всего: 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72</w:t>
            </w:r>
          </w:p>
        </w:tc>
        <w:tc>
          <w:tcPr>
            <w:tcW w:w="707" w:type="pct"/>
            <w:shd w:val="clear" w:color="auto" w:fill="BFBFBF" w:themeFill="background1" w:themeFillShade="BF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</w:tbl>
    <w:p w:rsidR="00CE3E7F" w:rsidRDefault="00CE3E7F" w:rsidP="00326308">
      <w:pPr>
        <w:rPr>
          <w:lang w:eastAsia="ru-RU"/>
        </w:rPr>
      </w:pPr>
    </w:p>
    <w:p w:rsidR="00326308" w:rsidRDefault="00326308" w:rsidP="00326308">
      <w:pPr>
        <w:rPr>
          <w:lang w:eastAsia="ru-RU"/>
        </w:rPr>
      </w:pPr>
    </w:p>
    <w:p w:rsidR="00326308" w:rsidRPr="00326308" w:rsidRDefault="00326308" w:rsidP="00326308">
      <w:pPr>
        <w:rPr>
          <w:lang w:eastAsia="ru-RU"/>
        </w:rPr>
      </w:pPr>
    </w:p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AA7380" w:rsidRDefault="0052327E" w:rsidP="001C2B1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C2B10" w:rsidRPr="001C2B10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  <w:r w:rsidR="001C2B10" w:rsidRPr="001C2B10">
        <w:rPr>
          <w:rFonts w:ascii="Times New Roman" w:eastAsia="Times New Roman" w:hAnsi="Times New Roman"/>
          <w:bCs/>
          <w:sz w:val="24"/>
          <w:szCs w:val="24"/>
        </w:rPr>
        <w:t>компьютеры с профессиональным программным обеспечением для обработки землеустроительной, градостроительной и кадастровой информации с выходом в интернет, проектор, экран</w:t>
      </w:r>
    </w:p>
    <w:p w:rsidR="001C2B10" w:rsidRDefault="001C2B10" w:rsidP="001C2B1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1C2B10" w:rsidRPr="007C539C" w:rsidRDefault="001C2B10" w:rsidP="001C2B10">
      <w:pPr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  <w:r w:rsidRPr="007C539C">
        <w:rPr>
          <w:rFonts w:ascii="Times New Roman" w:eastAsia="Times New Roman" w:hAnsi="Times New Roman"/>
          <w:sz w:val="24"/>
          <w:szCs w:val="27"/>
          <w:lang w:eastAsia="ru-RU"/>
        </w:rPr>
        <w:t>Информатика и информационные технологии: учебник для СПО / М. В. Гаврилов, В. А. Климов. — 4-е изд., перераб. и доп. — М.: Издательство Юрайт, 2017. — 383 с.</w:t>
      </w:r>
    </w:p>
    <w:p w:rsidR="001C2B10" w:rsidRPr="007C539C" w:rsidRDefault="001C2B10" w:rsidP="001C2B10">
      <w:pPr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  <w:r w:rsidRPr="007C539C">
        <w:rPr>
          <w:rFonts w:ascii="Times New Roman" w:eastAsia="Times New Roman" w:hAnsi="Times New Roman"/>
          <w:sz w:val="24"/>
          <w:szCs w:val="27"/>
          <w:lang w:eastAsia="ru-RU"/>
        </w:rPr>
        <w:t>Информационные технологии в профессиональной деятельности: учеб. пособие для студ. учреждений сред. проф. образования/  Е. В. Михеева. – 14-е изд. стер. – М.: Издательский центр «Академия», 2016. – 384 с.</w:t>
      </w:r>
    </w:p>
    <w:p w:rsidR="001C2B10" w:rsidRPr="007C539C" w:rsidRDefault="001C2B10" w:rsidP="001C2B10">
      <w:pPr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  <w:r w:rsidRPr="007C539C">
        <w:rPr>
          <w:rFonts w:ascii="Times New Roman" w:eastAsia="Times New Roman" w:hAnsi="Times New Roman"/>
          <w:sz w:val="24"/>
          <w:szCs w:val="27"/>
          <w:lang w:eastAsia="ru-RU"/>
        </w:rPr>
        <w:t xml:space="preserve">Информационные технологии: учебник для СПО / Б. Я. Советов, В. В. Цехановский. — 7-е изд., перераб. и доп. — М.: Издательство Юрайт, 2018. — 327 с. </w:t>
      </w:r>
    </w:p>
    <w:p w:rsidR="001C2B10" w:rsidRPr="007C539C" w:rsidRDefault="001C2B10" w:rsidP="001C2B10">
      <w:pPr>
        <w:numPr>
          <w:ilvl w:val="0"/>
          <w:numId w:val="26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  <w:r w:rsidRPr="007C539C">
        <w:rPr>
          <w:rFonts w:ascii="Times New Roman" w:eastAsia="Times New Roman" w:hAnsi="Times New Roman"/>
          <w:sz w:val="24"/>
          <w:szCs w:val="27"/>
          <w:lang w:eastAsia="ru-RU"/>
        </w:rPr>
        <w:t xml:space="preserve">Компьютерная графика и Web-дизайн. Практикум: учебное пособие/под ред. Л.Г. Гагариной, Т.И. Немцовой, Ю.В. Назаровой. – М.: ИД «Форум»: Инфра – М, 2017. – 288 с. 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1C2B10" w:rsidRPr="001C2B10" w:rsidRDefault="001C2B10" w:rsidP="001C2B10">
      <w:pPr>
        <w:numPr>
          <w:ilvl w:val="0"/>
          <w:numId w:val="19"/>
        </w:num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B10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Электронно-библиотечная система BOOK.ru (Режим доступа): URL: </w:t>
      </w:r>
      <w:hyperlink r:id="rId11" w:history="1">
        <w:r w:rsidRPr="001C2B10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https://vk.com/away.php?to=http%3A%2F%2FBOOK.RU&amp;el=snippet</w:t>
        </w:r>
      </w:hyperlink>
    </w:p>
    <w:p w:rsidR="001C2B10" w:rsidRPr="001C2B10" w:rsidRDefault="001C2B10" w:rsidP="001C2B10">
      <w:pPr>
        <w:numPr>
          <w:ilvl w:val="0"/>
          <w:numId w:val="19"/>
        </w:numPr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B10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Информационная система «Единое окно доступа к образовательным ресурсам». [Электронный ресурс] – </w:t>
      </w:r>
      <w:r w:rsidRPr="001C2B10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1C2B10">
        <w:rPr>
          <w:rFonts w:ascii="Times New Roman" w:eastAsia="Times New Roman" w:hAnsi="Times New Roman"/>
          <w:sz w:val="24"/>
          <w:szCs w:val="24"/>
          <w:lang w:eastAsia="ru-RU"/>
        </w:rPr>
        <w:t>: http://window.edu.ru/</w:t>
      </w: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3304"/>
        <w:gridCol w:w="2888"/>
      </w:tblGrid>
      <w:tr w:rsidR="001C2B10" w:rsidRPr="007C539C" w:rsidTr="00E41EC8">
        <w:tc>
          <w:tcPr>
            <w:tcW w:w="0" w:type="auto"/>
            <w:vAlign w:val="center"/>
          </w:tcPr>
          <w:p w:rsidR="001C2B10" w:rsidRPr="007C539C" w:rsidRDefault="001C2B10" w:rsidP="00E41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0" w:type="auto"/>
            <w:vAlign w:val="center"/>
          </w:tcPr>
          <w:p w:rsidR="001C2B10" w:rsidRPr="007C539C" w:rsidRDefault="001C2B10" w:rsidP="00E41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0" w:type="auto"/>
            <w:vAlign w:val="center"/>
          </w:tcPr>
          <w:p w:rsidR="001C2B10" w:rsidRPr="007C539C" w:rsidRDefault="001C2B10" w:rsidP="00E41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1C2B10" w:rsidRPr="007C539C" w:rsidTr="00E41EC8">
        <w:tc>
          <w:tcPr>
            <w:tcW w:w="0" w:type="auto"/>
            <w:gridSpan w:val="3"/>
            <w:vAlign w:val="center"/>
          </w:tcPr>
          <w:p w:rsidR="001C2B10" w:rsidRPr="007C539C" w:rsidRDefault="001C2B10" w:rsidP="00E41EC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дисциплины:</w:t>
            </w:r>
          </w:p>
        </w:tc>
      </w:tr>
      <w:tr w:rsidR="001C2B10" w:rsidRPr="007C539C" w:rsidTr="00E41EC8">
        <w:trPr>
          <w:trHeight w:val="6746"/>
        </w:trPr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lastRenderedPageBreak/>
              <w:t>– основные методы и средства обработки, хранения, передачи и накопления информации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назначение, состав, основные характеристики компьютера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основные компоненты компьютерных сетей, принципы пакетной передачи данных, организация межсетевого взаимодействия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назначение и принципы использования системного и прикладного программного обеспечения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 xml:space="preserve">– технология поиска информации в информационно-телекоммуникационной сети "Интернет" 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принципы защиты информации от несанкционированного доступа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правовые аспекты использования информационных технологий и программного обеспечения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основные понятия автоматизированной обработки информации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методов и средств обработки, хранения, передачи и накопления информации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назначения, состава, основных характеристик компьютера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– описывает основные компоненты компьютерных сетей, принципы пакетной передачи данных, организацию межсетевого взаимодействия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и навыки работы в системном и прикладном программном обеспечении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владение технологией поиска информации в сети «Интернет»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 xml:space="preserve">– демонстрирует правовые знания в области информационных технологий и программного обеспечения 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владеет основными понятиями в области автоматизированной обработки информации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– тестирование,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устный опрос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– экспертная оценка по результатам наблюдения за деятельностью студента в процессе освоения учебной дисциплины</w:t>
            </w:r>
          </w:p>
        </w:tc>
      </w:tr>
      <w:tr w:rsidR="001C2B10" w:rsidRPr="007C539C" w:rsidTr="00E41EC8">
        <w:trPr>
          <w:trHeight w:val="1928"/>
        </w:trPr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назначение, принципы организации и эксплуатации информационных систем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основные угрозы и методы обеспечения информационной безопасности.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назначения, принципов организации и эксплуатации информационных систем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описывает основные угрозы и методы обеспечения информационной безопасности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</w:tr>
      <w:tr w:rsidR="001C2B10" w:rsidRPr="007C539C" w:rsidTr="00E41EC8">
        <w:tc>
          <w:tcPr>
            <w:tcW w:w="0" w:type="auto"/>
            <w:gridSpan w:val="3"/>
            <w:vAlign w:val="center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Перечень умений, осваиваемых в рамках дисциплины:</w:t>
            </w:r>
          </w:p>
        </w:tc>
      </w:tr>
      <w:tr w:rsidR="001C2B10" w:rsidRPr="007C539C" w:rsidTr="00E41EC8">
        <w:trPr>
          <w:trHeight w:val="5443"/>
        </w:trPr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lastRenderedPageBreak/>
              <w:t>– использовать информационные ресурсы для поиска и хранения информации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применять антивирусные средства защиты информации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читать (интерпретировать) интерфейс специализированного программного обеспечения, находить контекстную помощь, работать с документацией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пользоваться автоматизированными системами делопроизводства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применять методы и средства защиты информации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использует информационные ресурсы для поиска и хранения информации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применяет антивирусные средства защиты информации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умение работать с интерфейсом специализированного программного обеспечения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умения работать со специализированным программным обеспечением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умеет пользоваться автоматизированными системами делопроизводства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организует защиту информации известными методами и средствами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– экспертная оценка по результатам наблюдения за деятельностью студента в процессе выполнения практических работ и индивидуальных заданий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339" w:rsidRDefault="00627339" w:rsidP="004500E0">
      <w:pPr>
        <w:spacing w:after="0" w:line="240" w:lineRule="auto"/>
      </w:pPr>
      <w:r>
        <w:separator/>
      </w:r>
    </w:p>
  </w:endnote>
  <w:endnote w:type="continuationSeparator" w:id="0">
    <w:p w:rsidR="00627339" w:rsidRDefault="00627339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308" w:rsidRDefault="0032630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3E7F">
      <w:rPr>
        <w:noProof/>
      </w:rPr>
      <w:t>16</w:t>
    </w:r>
    <w:r>
      <w:rPr>
        <w:noProof/>
      </w:rPr>
      <w:fldChar w:fldCharType="end"/>
    </w:r>
  </w:p>
  <w:p w:rsidR="00326308" w:rsidRDefault="003263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339" w:rsidRDefault="00627339" w:rsidP="004500E0">
      <w:pPr>
        <w:spacing w:after="0" w:line="240" w:lineRule="auto"/>
      </w:pPr>
      <w:r>
        <w:separator/>
      </w:r>
    </w:p>
  </w:footnote>
  <w:footnote w:type="continuationSeparator" w:id="0">
    <w:p w:rsidR="00627339" w:rsidRDefault="00627339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435"/>
    <w:multiLevelType w:val="hybridMultilevel"/>
    <w:tmpl w:val="E1DAE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406E"/>
    <w:multiLevelType w:val="multilevel"/>
    <w:tmpl w:val="98240562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hint="default"/>
        <w:b w:val="0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2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08A5399"/>
    <w:multiLevelType w:val="hybridMultilevel"/>
    <w:tmpl w:val="A18ABAC2"/>
    <w:lvl w:ilvl="0" w:tplc="5C8A7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B2D58"/>
    <w:multiLevelType w:val="multilevel"/>
    <w:tmpl w:val="E594E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89218CB"/>
    <w:multiLevelType w:val="hybridMultilevel"/>
    <w:tmpl w:val="0526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2">
    <w:nsid w:val="71243F58"/>
    <w:multiLevelType w:val="multilevel"/>
    <w:tmpl w:val="54329AC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3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5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2"/>
  </w:num>
  <w:num w:numId="8">
    <w:abstractNumId w:val="25"/>
  </w:num>
  <w:num w:numId="9">
    <w:abstractNumId w:val="19"/>
  </w:num>
  <w:num w:numId="10">
    <w:abstractNumId w:val="2"/>
  </w:num>
  <w:num w:numId="11">
    <w:abstractNumId w:val="18"/>
  </w:num>
  <w:num w:numId="12">
    <w:abstractNumId w:val="14"/>
  </w:num>
  <w:num w:numId="13">
    <w:abstractNumId w:val="11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23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15"/>
  </w:num>
  <w:num w:numId="23">
    <w:abstractNumId w:val="22"/>
  </w:num>
  <w:num w:numId="24">
    <w:abstractNumId w:val="7"/>
  </w:num>
  <w:num w:numId="25">
    <w:abstractNumId w:val="1"/>
  </w:num>
  <w:num w:numId="2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C2B10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26308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27339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471F4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E3E7F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%3A%2F%2FBOOK.RU&amp;el=snippet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EFCC-01CC-4AA7-A990-E24B1144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16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20634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6</cp:revision>
  <cp:lastPrinted>2013-12-17T10:16:00Z</cp:lastPrinted>
  <dcterms:created xsi:type="dcterms:W3CDTF">2022-10-17T04:41:00Z</dcterms:created>
  <dcterms:modified xsi:type="dcterms:W3CDTF">2023-09-03T16:22:00Z</dcterms:modified>
</cp:coreProperties>
</file>