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955D0E" w:rsidRPr="00F72C3C" w:rsidRDefault="00955D0E" w:rsidP="00955D0E">
      <w:pPr>
        <w:spacing w:line="48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ОП.03</w:t>
      </w:r>
      <w:r w:rsidR="00FF1ED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ОСНОВЫ ГЕОДЕЗИИ И КАРТОГРАФИИ, ТОПОГРАФИЧЕСКАЯ ГРАФИКА </w:t>
      </w:r>
    </w:p>
    <w:p w:rsidR="007F3DC3" w:rsidRPr="007F3DC3" w:rsidRDefault="007F3DC3" w:rsidP="007F3DC3">
      <w:pPr>
        <w:rPr>
          <w:lang w:eastAsia="ru-RU"/>
        </w:rPr>
      </w:pPr>
    </w:p>
    <w:p w:rsidR="00A40C0C" w:rsidRDefault="00DB37C0" w:rsidP="00FF1E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FF1E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FF1ED9" w:rsidRPr="00FF1ED9" w:rsidRDefault="00855182" w:rsidP="00FF1E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>
        <w:rPr>
          <w:rFonts w:ascii="Times New Roman" w:eastAsia="Times New Roman" w:hAnsi="Times New Roman"/>
          <w:caps/>
          <w:sz w:val="28"/>
          <w:szCs w:val="28"/>
          <w:lang w:eastAsia="ru-RU"/>
        </w:rPr>
        <w:t>(учебный план 2024</w:t>
      </w:r>
      <w:r w:rsidR="00FF1ED9" w:rsidRPr="00FF1ED9">
        <w:rPr>
          <w:rFonts w:ascii="Times New Roman" w:eastAsia="Times New Roman" w:hAnsi="Times New Roman"/>
          <w:caps/>
          <w:sz w:val="28"/>
          <w:szCs w:val="28"/>
          <w:lang w:eastAsia="ru-RU"/>
        </w:rPr>
        <w:t>)</w:t>
      </w: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855182">
        <w:rPr>
          <w:rFonts w:ascii="Times New Roman" w:hAnsi="Times New Roman"/>
          <w:sz w:val="28"/>
          <w:szCs w:val="28"/>
        </w:rPr>
        <w:t>4</w:t>
      </w:r>
    </w:p>
    <w:p w:rsidR="00922B29" w:rsidRDefault="00922B29" w:rsidP="00922B29">
      <w:pPr>
        <w:rPr>
          <w:rFonts w:ascii="Times New Roman" w:eastAsia="Times New Roman" w:hAnsi="Times New Roman"/>
          <w:lang w:eastAsia="ru-RU"/>
        </w:rPr>
      </w:pPr>
      <w:r>
        <w:br w:type="page"/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FF1E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955D0E" w:rsidRPr="00955D0E">
        <w:rPr>
          <w:rFonts w:ascii="Times New Roman" w:hAnsi="Times New Roman"/>
          <w:b/>
          <w:bCs/>
          <w:spacing w:val="3"/>
          <w:sz w:val="24"/>
          <w:szCs w:val="24"/>
        </w:rPr>
        <w:t>Основы геодезии и картографии, топографическая графика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FF1E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FF1ED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FF1ED9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855182">
        <w:rPr>
          <w:rFonts w:ascii="Times New Roman" w:hAnsi="Times New Roman"/>
          <w:spacing w:val="3"/>
          <w:sz w:val="24"/>
          <w:szCs w:val="24"/>
        </w:rPr>
        <w:t>98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855182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877259" w:rsidRPr="00877259" w:rsidRDefault="00FF1ED9" w:rsidP="00FF1ED9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ОП.03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Pr="00F72C3C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ОСНОВЫ ГЕОДЕЗИИ И КАРТОГРАФИИ, ТОПОГРАФИЧЕСКАЯ ГРАФИКА 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FF1ED9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FF1ED9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во</w:t>
      </w:r>
      <w:r w:rsidR="00FF1ED9">
        <w:rPr>
          <w:rFonts w:ascii="Times New Roman" w:hAnsi="Times New Roman"/>
          <w:sz w:val="28"/>
          <w:szCs w:val="28"/>
        </w:rPr>
        <w:t xml:space="preserve"> </w:t>
      </w:r>
      <w:r w:rsidR="00855182">
        <w:rPr>
          <w:rFonts w:ascii="Times New Roman" w:hAnsi="Times New Roman"/>
          <w:sz w:val="28"/>
          <w:szCs w:val="28"/>
        </w:rPr>
        <w:t>о</w:t>
      </w:r>
      <w:r w:rsidR="00594575" w:rsidRPr="00E80C7D">
        <w:rPr>
          <w:rFonts w:ascii="Times New Roman" w:hAnsi="Times New Roman"/>
          <w:sz w:val="28"/>
          <w:szCs w:val="28"/>
        </w:rPr>
        <w:t>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955D0E">
        <w:rPr>
          <w:rFonts w:ascii="Times New Roman" w:hAnsi="Times New Roman"/>
          <w:sz w:val="28"/>
          <w:szCs w:val="28"/>
        </w:rPr>
        <w:t>3</w:t>
      </w:r>
      <w:r w:rsidR="00955D0E" w:rsidRPr="00955D0E">
        <w:rPr>
          <w:rFonts w:ascii="Times New Roman" w:hAnsi="Times New Roman"/>
          <w:sz w:val="28"/>
          <w:szCs w:val="28"/>
        </w:rPr>
        <w:t>Основы геодезии и картографии, топографическая графика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955D0E" w:rsidTr="00BB174B">
        <w:tc>
          <w:tcPr>
            <w:tcW w:w="1134" w:type="dxa"/>
          </w:tcPr>
          <w:p w:rsidR="00955D0E" w:rsidRP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ПК 1.1-ПК 1.6,</w:t>
            </w:r>
          </w:p>
          <w:p w:rsidR="00955D0E" w:rsidRP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ОК 01, ОК 02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D0E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ЛР 2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ЛР 7 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955D0E" w:rsidRDefault="00955D0E" w:rsidP="00955D0E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определять географические координаты листа карты заданного масштаба по ее номенклатуре;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– определять по карте истинные азимуты и дирекционные углы заданных направлений; 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рисовать рельеф местности по пикетам;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4359" w:type="dxa"/>
          </w:tcPr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понятие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Государственные системы координат. Государственная система высот.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  картографические проекции. Проекция Гаусса – Крюгера.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 классификация карт:</w:t>
            </w: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топографические карты и планы; специальные карты и планы; тематические карты и планы; иные карты и планы.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– условные знаки и их классификация.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прямая и обратная геодезические задачи</w:t>
            </w:r>
          </w:p>
          <w:p w:rsidR="00955D0E" w:rsidRPr="00F72C3C" w:rsidRDefault="00955D0E" w:rsidP="00955D0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федеральные и ведомственные фонды пространственных данных</w:t>
            </w:r>
          </w:p>
        </w:tc>
      </w:tr>
    </w:tbl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855182">
        <w:rPr>
          <w:rFonts w:ascii="Times New Roman" w:hAnsi="Times New Roman"/>
          <w:sz w:val="28"/>
          <w:szCs w:val="28"/>
        </w:rPr>
        <w:t>98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855182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lastRenderedPageBreak/>
        <w:t>часть программы-</w:t>
      </w:r>
      <w:r w:rsidR="00855182">
        <w:rPr>
          <w:rFonts w:ascii="Times New Roman" w:hAnsi="Times New Roman"/>
          <w:sz w:val="28"/>
          <w:szCs w:val="28"/>
        </w:rPr>
        <w:t>44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855182">
        <w:rPr>
          <w:rFonts w:ascii="Times New Roman" w:hAnsi="Times New Roman"/>
          <w:sz w:val="28"/>
          <w:szCs w:val="28"/>
        </w:rPr>
        <w:t>44</w:t>
      </w:r>
      <w:r w:rsidR="00955D0E">
        <w:rPr>
          <w:rFonts w:ascii="Times New Roman" w:hAnsi="Times New Roman"/>
          <w:sz w:val="28"/>
          <w:szCs w:val="28"/>
        </w:rPr>
        <w:t xml:space="preserve"> 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55182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855182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855182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855182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  <w:p w:rsidR="00FF1ED9" w:rsidRPr="00FF1ED9" w:rsidRDefault="00FF1ED9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F1ED9">
              <w:rPr>
                <w:rFonts w:ascii="Times New Roman" w:hAnsi="Times New Roman"/>
                <w:i/>
                <w:sz w:val="28"/>
                <w:szCs w:val="28"/>
              </w:rPr>
              <w:t>Консультации 2 часа + 6 часов экзамен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955D0E" w:rsidRDefault="00D37DBB" w:rsidP="00FF1ED9">
      <w:pPr>
        <w:spacing w:line="240" w:lineRule="auto"/>
        <w:jc w:val="center"/>
        <w:rPr>
          <w:bCs/>
          <w:i/>
          <w:sz w:val="20"/>
          <w:szCs w:val="20"/>
        </w:rPr>
      </w:pPr>
      <w:r w:rsidRPr="00FF1ED9">
        <w:rPr>
          <w:rFonts w:ascii="Times New Roman" w:hAnsi="Times New Roman"/>
          <w:b/>
          <w:sz w:val="28"/>
          <w:szCs w:val="28"/>
        </w:rPr>
        <w:lastRenderedPageBreak/>
        <w:t xml:space="preserve">2.2. Тематический план и содержание </w:t>
      </w:r>
      <w:r w:rsidR="004C03DA" w:rsidRPr="00FF1ED9">
        <w:rPr>
          <w:rFonts w:ascii="Times New Roman" w:hAnsi="Times New Roman"/>
          <w:b/>
          <w:sz w:val="28"/>
          <w:szCs w:val="28"/>
        </w:rPr>
        <w:t>учебной дисциплины</w:t>
      </w:r>
      <w:r w:rsidR="00FF1ED9" w:rsidRPr="00FF1ED9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ОП.03 ОСНОВЫ ГЕОДЕЗИИ И КАРТОГРАФИИ, ТОПОГРАФИЧЕСКАЯ ГРАФИКА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1"/>
        <w:gridCol w:w="8635"/>
        <w:gridCol w:w="2120"/>
        <w:gridCol w:w="1890"/>
      </w:tblGrid>
      <w:tr w:rsidR="00955D0E" w:rsidRPr="00F72C3C" w:rsidTr="00855182">
        <w:trPr>
          <w:trHeight w:val="20"/>
        </w:trPr>
        <w:tc>
          <w:tcPr>
            <w:tcW w:w="724" w:type="pct"/>
          </w:tcPr>
          <w:p w:rsidR="00955D0E" w:rsidRPr="00F72C3C" w:rsidRDefault="00955D0E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920" w:type="pct"/>
          </w:tcPr>
          <w:p w:rsidR="00955D0E" w:rsidRPr="00F72C3C" w:rsidRDefault="00955D0E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7" w:type="pct"/>
          </w:tcPr>
          <w:p w:rsidR="00955D0E" w:rsidRPr="00F72C3C" w:rsidRDefault="00955D0E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 в том числе в форме практической подготовки, ак. ч</w:t>
            </w:r>
          </w:p>
        </w:tc>
        <w:tc>
          <w:tcPr>
            <w:tcW w:w="639" w:type="pct"/>
            <w:vAlign w:val="center"/>
          </w:tcPr>
          <w:p w:rsidR="00955D0E" w:rsidRPr="00116801" w:rsidRDefault="00955D0E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955D0E" w:rsidRPr="00F72C3C" w:rsidTr="00855182">
        <w:trPr>
          <w:trHeight w:val="20"/>
        </w:trPr>
        <w:tc>
          <w:tcPr>
            <w:tcW w:w="724" w:type="pct"/>
          </w:tcPr>
          <w:p w:rsidR="00955D0E" w:rsidRPr="00F72C3C" w:rsidRDefault="00955D0E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2920" w:type="pct"/>
          </w:tcPr>
          <w:p w:rsidR="00955D0E" w:rsidRPr="00F72C3C" w:rsidRDefault="00955D0E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717" w:type="pct"/>
          </w:tcPr>
          <w:p w:rsidR="00955D0E" w:rsidRPr="00F72C3C" w:rsidRDefault="00955D0E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639" w:type="pct"/>
            <w:vAlign w:val="center"/>
          </w:tcPr>
          <w:p w:rsidR="00955D0E" w:rsidRPr="00116801" w:rsidRDefault="00955D0E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</w:t>
            </w:r>
          </w:p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639" w:type="pct"/>
            <w:vMerge w:val="restart"/>
            <w:shd w:val="clear" w:color="auto" w:fill="auto"/>
          </w:tcPr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знать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понятие о форме и размерах Земли.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 Государственные системы координат. Государственная система высот.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  картографические проекции. Проекция Гаусса – Крюгера.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 классификация карт:</w:t>
            </w:r>
            <w:r w:rsidRPr="00FF1E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топографические карты и планы; специальные карты и планы; тематические карты и планы; иные карты и планы.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 условные знаки и их классификация.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прямая и обратная геодезические задачи</w:t>
            </w:r>
          </w:p>
          <w:p w:rsid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– федеральные и ведомственные </w:t>
            </w:r>
            <w:r w:rsidRPr="00FF1ED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фонды пространственных данных</w:t>
            </w:r>
          </w:p>
          <w:p w:rsidR="00893B28" w:rsidRPr="00893B28" w:rsidRDefault="00893B28" w:rsidP="0085518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3B28">
              <w:rPr>
                <w:rFonts w:ascii="Times New Roman" w:hAnsi="Times New Roman"/>
              </w:rPr>
              <w:t>ЛР 2</w:t>
            </w:r>
            <w:r>
              <w:rPr>
                <w:rFonts w:ascii="Times New Roman" w:hAnsi="Times New Roman"/>
              </w:rPr>
              <w:t xml:space="preserve"> </w:t>
            </w:r>
            <w:r w:rsidRPr="00893B28">
              <w:rPr>
                <w:rFonts w:ascii="Times New Roman" w:hAnsi="Times New Roman"/>
              </w:rPr>
              <w:t>ЛР 7 ЛР 14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Предмет и задачи геодезии и картографии. Основные понятия: геодезия, картография, пространственные объекты, пространственные данные, масштаб, система координат, карта и др.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2. Геодезические и картографические работы. История развития геодезических и картографических работ в России. 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Научное и практическое значение геодезии и картографии. Роль геодезии и картографии в развитии цифровой экономики России.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FF1ED9" w:rsidRDefault="00855182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1: «Выдающиеся ученые и их открытия в сфере геодезии и картографии»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2920" w:type="pct"/>
            <w:vAlign w:val="bottom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2: «Практическое применение пространственных данных в экономике страны»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 Изображение земной поверхности на сфере и плоскости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1.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 Понятие о форме и размерах Земли. Геоид, эллипсоид, референц - эллипсоид. Определение положения точек земной поверхности. Системы координат, применяемые в геодезии: географическая, прямоугольная, полярная. Системы высот точек земной поверхности.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2. Метод проекций. Картографические проекции. Проекция Гаусса – Крюгера.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Зональная система плоских прямоугольных координат Гаусса-Крюгера. Балтийская система высот. Государственные системы координат. Государственная система высот. Государственная гравиметрическая система.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FF1ED9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3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: «Решение задач на определение номенклатуры листа карты 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заданного масштаба по географическим координатам точки лежащей внутри листа»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FF1ED9" w:rsidRPr="00F72C3C" w:rsidTr="00855182">
        <w:trPr>
          <w:trHeight w:val="253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4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«Определение географических координат листа карты заданного масштаба по ее номенклатуре. Определение номенклатуры смежных листов карты разных масштабов».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FF1ED9" w:rsidRPr="00F72C3C" w:rsidTr="00855182">
        <w:trPr>
          <w:trHeight w:val="253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  <w:vMerge/>
            <w:vAlign w:val="bottom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7" w:type="pct"/>
            <w:vMerge/>
            <w:vAlign w:val="center"/>
          </w:tcPr>
          <w:p w:rsidR="00FF1ED9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639" w:type="pct"/>
            <w:vMerge w:val="restart"/>
            <w:shd w:val="clear" w:color="auto" w:fill="auto"/>
          </w:tcPr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Уметь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читать топографические карты и планы по условным знакам;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 определять географические координаты листа карты заданного масштаба по ее номенклатуре;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– определять по карте истинные азимуты и дирекционные углы заданных направлений; </w:t>
            </w:r>
          </w:p>
          <w:p w:rsidR="00FF1ED9" w:rsidRP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– рисовать рельеф местности по пикетам;</w:t>
            </w:r>
          </w:p>
          <w:p w:rsidR="00FF1ED9" w:rsidRDefault="00FF1ED9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 решать прямую и обратную геодезические задачи.</w:t>
            </w:r>
          </w:p>
          <w:p w:rsidR="00893B28" w:rsidRPr="00893B28" w:rsidRDefault="00893B28" w:rsidP="00855182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3B28">
              <w:rPr>
                <w:rFonts w:ascii="Times New Roman" w:hAnsi="Times New Roman"/>
              </w:rPr>
              <w:t>ЛР 2</w:t>
            </w:r>
            <w:r>
              <w:rPr>
                <w:rFonts w:ascii="Times New Roman" w:hAnsi="Times New Roman"/>
              </w:rPr>
              <w:t xml:space="preserve"> </w:t>
            </w:r>
            <w:r w:rsidRPr="00893B28">
              <w:rPr>
                <w:rFonts w:ascii="Times New Roman" w:hAnsi="Times New Roman"/>
              </w:rPr>
              <w:t>ЛР 7 ЛР 14</w:t>
            </w:r>
          </w:p>
          <w:p w:rsidR="00893B28" w:rsidRPr="00FF1ED9" w:rsidRDefault="00893B28" w:rsidP="0085518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 Топографические карты и планы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Классификация карт:</w:t>
            </w: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 топографические карты и планы; специальные карты и планы; тематические карты и планы; иные карты и планы.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2. Классификация и назначение топографических карт и планов. Понятие о масштабах. Виды масштабов: численный, линейный и поперченный. Точность масштаба, предельная точность масштаба. Государственный масштабный ряд топографических карт, карта и план. 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3. Основные формы рельефа, его характерные линии и точки. Форма и крутизна скатов. Горизонтали и их свойства. Высота сечения, заложение горизонталей. Подписи горизонталей, полугоризонтали, бергштрихи.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4. Единая электронная картографическая основа. Фонды пространственных данных.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FF1ED9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5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«Решение задач на масштабы. Пользование линейным и поперечным масштабами. Работа с масштабной линейкой».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6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«Определение высот точек, крутизны и формы ската. График заложений, его построение и использование. Решение задач по карте».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7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«Рисовка рельефа по пикетам»</w:t>
            </w:r>
          </w:p>
        </w:tc>
        <w:tc>
          <w:tcPr>
            <w:tcW w:w="717" w:type="pct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 Топографическая графика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1. Условные знаки и их классификация. Изображение на картах и планах разных масштабов населенных пунктов, дорожной сети, гидрографии, растительности и т.д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2. Картографические шрифты. Классификация и индексация шрифтов.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  <w:vAlign w:val="center"/>
          </w:tcPr>
          <w:p w:rsidR="00FF1ED9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8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«Чтение топографических карт и планов по условным знакам»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9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«Вычерчивание заглавных букв и цифр, строчных букв. Написание текста, надписей названий населенных пунктов, характеристик объектов».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10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«Вычерчивание условных знаков гидрографии и гидротехнических сооружений»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Практическое занятие 11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: «Вычерчивание условных знаков населенных пунктов».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</w:t>
            </w:r>
            <w:r w:rsidR="00855182"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85518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Ориентирование линий на местности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8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1. Истинный, магнитный и осевой меридианы. Склонение магнитной стрелки и сближение меридианов. 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2. Азимуты, дирекционные углы, румбы.  Связь между различными видами ориентирующих углов.</w:t>
            </w:r>
          </w:p>
        </w:tc>
        <w:tc>
          <w:tcPr>
            <w:tcW w:w="717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717" w:type="pct"/>
          </w:tcPr>
          <w:p w:rsidR="00FF1ED9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-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 w:val="restart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Тема 6.</w:t>
            </w:r>
          </w:p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Определение положений точек на земной поверхности</w:t>
            </w:r>
          </w:p>
        </w:tc>
        <w:tc>
          <w:tcPr>
            <w:tcW w:w="2920" w:type="pct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717" w:type="pct"/>
            <w:vMerge w:val="restar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numPr>
                <w:ilvl w:val="0"/>
                <w:numId w:val="20"/>
              </w:numPr>
              <w:tabs>
                <w:tab w:val="left" w:pos="248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Прямая и обратная геодезические задачи. Невязки приращений координат. 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F72C3C" w:rsidRDefault="00FF1ED9" w:rsidP="00855182">
            <w:pPr>
              <w:numPr>
                <w:ilvl w:val="0"/>
                <w:numId w:val="20"/>
              </w:numPr>
              <w:tabs>
                <w:tab w:val="left" w:pos="248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Невязка периметра замкнутого полигона. Увязка приращений и вычисление координат.</w:t>
            </w:r>
          </w:p>
        </w:tc>
        <w:tc>
          <w:tcPr>
            <w:tcW w:w="717" w:type="pct"/>
            <w:vMerge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724" w:type="pct"/>
            <w:vMerge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2920" w:type="pct"/>
          </w:tcPr>
          <w:p w:rsidR="00FF1ED9" w:rsidRPr="00116801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717" w:type="pct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0</w:t>
            </w:r>
          </w:p>
        </w:tc>
        <w:tc>
          <w:tcPr>
            <w:tcW w:w="639" w:type="pct"/>
            <w:vMerge w:val="restart"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3644" w:type="pct"/>
            <w:gridSpan w:val="2"/>
          </w:tcPr>
          <w:p w:rsidR="00FF1ED9" w:rsidRPr="00FF1ED9" w:rsidRDefault="00FF1ED9" w:rsidP="008551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F1ED9">
              <w:rPr>
                <w:rFonts w:ascii="Times New Roman" w:hAnsi="Times New Roman"/>
                <w:b/>
                <w:bCs/>
              </w:rPr>
              <w:t>Консультации</w:t>
            </w:r>
          </w:p>
        </w:tc>
        <w:tc>
          <w:tcPr>
            <w:tcW w:w="717" w:type="pct"/>
            <w:vAlign w:val="center"/>
          </w:tcPr>
          <w:p w:rsidR="00FF1ED9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3644" w:type="pct"/>
            <w:gridSpan w:val="2"/>
          </w:tcPr>
          <w:p w:rsidR="00FF1ED9" w:rsidRPr="00FF1ED9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F1ED9">
              <w:rPr>
                <w:rFonts w:ascii="Times New Roman" w:eastAsia="Times New Roman" w:hAnsi="Times New Roman"/>
                <w:b/>
                <w:lang w:eastAsia="ru-RU"/>
              </w:rPr>
              <w:t>Экзамен</w:t>
            </w:r>
          </w:p>
        </w:tc>
        <w:tc>
          <w:tcPr>
            <w:tcW w:w="717" w:type="pct"/>
            <w:vAlign w:val="center"/>
          </w:tcPr>
          <w:p w:rsidR="00FF1ED9" w:rsidRPr="00F72C3C" w:rsidRDefault="00FF1ED9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639" w:type="pct"/>
            <w:vMerge/>
            <w:shd w:val="clear" w:color="auto" w:fill="auto"/>
            <w:vAlign w:val="center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F1ED9" w:rsidRPr="00F72C3C" w:rsidTr="00855182">
        <w:trPr>
          <w:trHeight w:val="20"/>
        </w:trPr>
        <w:tc>
          <w:tcPr>
            <w:tcW w:w="3644" w:type="pct"/>
            <w:gridSpan w:val="2"/>
          </w:tcPr>
          <w:p w:rsidR="00FF1ED9" w:rsidRPr="00F72C3C" w:rsidRDefault="00FF1ED9" w:rsidP="0085518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lang w:eastAsia="ru-RU"/>
              </w:rPr>
              <w:t>Всего:</w:t>
            </w:r>
          </w:p>
        </w:tc>
        <w:tc>
          <w:tcPr>
            <w:tcW w:w="717" w:type="pct"/>
            <w:vAlign w:val="center"/>
          </w:tcPr>
          <w:p w:rsidR="00FF1ED9" w:rsidRPr="00F72C3C" w:rsidRDefault="00855182" w:rsidP="008551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98</w:t>
            </w:r>
          </w:p>
        </w:tc>
        <w:tc>
          <w:tcPr>
            <w:tcW w:w="639" w:type="pct"/>
            <w:vMerge/>
            <w:shd w:val="clear" w:color="auto" w:fill="auto"/>
          </w:tcPr>
          <w:p w:rsidR="00FF1ED9" w:rsidRPr="00F72C3C" w:rsidRDefault="00FF1ED9" w:rsidP="0085518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955D0E" w:rsidRDefault="00955D0E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893B28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52327E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955D0E" w:rsidRPr="00955D0E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геодезии и картографии, топографическая графика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52327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52327E">
      <w:pPr>
        <w:pStyle w:val="ad"/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52327E">
      <w:pPr>
        <w:pStyle w:val="ad"/>
        <w:numPr>
          <w:ilvl w:val="0"/>
          <w:numId w:val="17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F90318">
      <w:pPr>
        <w:tabs>
          <w:tab w:val="left" w:pos="0"/>
          <w:tab w:val="left" w:pos="1276"/>
          <w:tab w:val="left" w:pos="170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955D0E" w:rsidRPr="00F72C3C" w:rsidRDefault="00955D0E" w:rsidP="00955D0E">
      <w:pPr>
        <w:numPr>
          <w:ilvl w:val="0"/>
          <w:numId w:val="21"/>
        </w:numPr>
        <w:tabs>
          <w:tab w:val="left" w:pos="993"/>
        </w:tabs>
        <w:spacing w:after="0"/>
        <w:ind w:left="714" w:hanging="357"/>
        <w:contextualSpacing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F72C3C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Вострокнутов, А. Л.</w:t>
      </w:r>
      <w:r w:rsidRPr="00F72C3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F72C3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Основы топографии : учебник для среднего профессионального образования / А. Л. Вострокнутов, В. Н. Супрун, Г. В. Шевченко ; под общей редакцией А. Л. Вострокнутова. — Москва : Издательство Юрайт, 2021. — 196 с.</w:t>
      </w:r>
    </w:p>
    <w:p w:rsidR="00955D0E" w:rsidRPr="00F72C3C" w:rsidRDefault="00955D0E" w:rsidP="00955D0E">
      <w:pPr>
        <w:numPr>
          <w:ilvl w:val="0"/>
          <w:numId w:val="21"/>
        </w:numPr>
        <w:tabs>
          <w:tab w:val="left" w:pos="993"/>
        </w:tabs>
        <w:spacing w:after="0"/>
        <w:ind w:left="714" w:hanging="357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72C3C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Смалев, В. И.</w:t>
      </w:r>
      <w:r w:rsidRPr="00F72C3C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F72C3C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 Геодезия с основами картографии и картографического черчения : учебное пособие для среднего профессионального образования / В. И. Смалев. — Москва : Издательство Юрайт, 2021. — 189 с. — (Профессиональное образование). — ISBN 978-5-534-14084-2. </w:t>
      </w:r>
    </w:p>
    <w:p w:rsidR="00C30648" w:rsidRDefault="00C30648" w:rsidP="00116801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955D0E" w:rsidRPr="00BB0D78" w:rsidRDefault="00955D0E" w:rsidP="00955D0E">
      <w:pPr>
        <w:pStyle w:val="ad"/>
        <w:numPr>
          <w:ilvl w:val="0"/>
          <w:numId w:val="22"/>
        </w:numPr>
        <w:spacing w:after="160"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B0D78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r w:rsidRPr="00BB0D78">
        <w:rPr>
          <w:rFonts w:ascii="Times New Roman" w:hAnsi="Times New Roman"/>
          <w:sz w:val="24"/>
          <w:szCs w:val="24"/>
          <w:lang w:val="en-US"/>
        </w:rPr>
        <w:t>BOOK</w:t>
      </w:r>
      <w:r w:rsidRPr="00BB0D78">
        <w:rPr>
          <w:rFonts w:ascii="Times New Roman" w:hAnsi="Times New Roman"/>
          <w:sz w:val="24"/>
          <w:szCs w:val="24"/>
        </w:rPr>
        <w:t>.</w:t>
      </w:r>
      <w:r w:rsidRPr="00BB0D78">
        <w:rPr>
          <w:rFonts w:ascii="Times New Roman" w:hAnsi="Times New Roman"/>
          <w:sz w:val="24"/>
          <w:szCs w:val="24"/>
          <w:lang w:val="en-US"/>
        </w:rPr>
        <w:t>ru</w:t>
      </w:r>
      <w:r w:rsidRPr="00BB0D78">
        <w:rPr>
          <w:rFonts w:ascii="Times New Roman" w:hAnsi="Times New Roman"/>
          <w:sz w:val="24"/>
          <w:szCs w:val="24"/>
        </w:rPr>
        <w:t xml:space="preserve"> (Режим доступа): URL: </w:t>
      </w:r>
      <w:hyperlink r:id="rId10" w:history="1">
        <w:r w:rsidRPr="00BB0D78">
          <w:rPr>
            <w:rStyle w:val="ab"/>
            <w:sz w:val="24"/>
            <w:szCs w:val="24"/>
          </w:rPr>
          <w:t>https://vk.com/away.php?to=http%3A%2F%2FBOOK.RU&amp;el=snippet</w:t>
        </w:r>
      </w:hyperlink>
    </w:p>
    <w:p w:rsidR="00EE4E5A" w:rsidRDefault="00EE4E5A" w:rsidP="009F67BB">
      <w:pPr>
        <w:pStyle w:val="1"/>
        <w:tabs>
          <w:tab w:val="left" w:pos="0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  <w:sz w:val="28"/>
          <w:szCs w:val="28"/>
        </w:rPr>
      </w:pP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94"/>
        <w:gridCol w:w="3104"/>
        <w:gridCol w:w="2856"/>
      </w:tblGrid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955D0E" w:rsidRPr="00F72C3C" w:rsidTr="00B535E6">
        <w:tc>
          <w:tcPr>
            <w:tcW w:w="5000" w:type="pct"/>
            <w:gridSpan w:val="3"/>
          </w:tcPr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</w:t>
            </w:r>
          </w:p>
        </w:tc>
      </w:tr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eastAsia="Times New Roman"/>
                <w:bCs/>
                <w:lang w:eastAsia="ru-RU"/>
              </w:rPr>
              <w:t>– п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онятие о форме и размерах Земли. Системы координат, применяемые в геодезии: географическая, 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прямоугольная, полярная. Системы высот точек земной поверхности.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государственные системы координат. Государственная система высот.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картографические проекции. Проекция Гаусса – Крюгера.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классификация карт:</w:t>
            </w: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 топографические карты и планы; специальные карты и планы;  тематические карты и планы; иные карты и планы.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условные знаки и их классификация.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 xml:space="preserve">– прямая и обратная геодезические задачи. 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 Федеральные и ведомственные фонды пространственных данных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– демонстрация понятий: картографические проекции, масштабный ряд, разграфка и </w:t>
            </w: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номенклатура топографических карт и планов; 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элементы содержания топографических карт и планов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демонстрация понятий: системы координат и высот, применяемые в геодезии;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color w:val="000000"/>
                <w:lang w:eastAsia="ru-RU"/>
              </w:rPr>
              <w:t>– прямая и обратная геодезические задачи;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- анализ полученных знаний в процессе устного и письменного опроса, </w:t>
            </w: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выполнения тестов;</w:t>
            </w:r>
          </w:p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проверка качества оформления и выполнения практических и лабораторных работ</w:t>
            </w:r>
          </w:p>
          <w:p w:rsidR="00955D0E" w:rsidRPr="00F72C3C" w:rsidRDefault="00955D0E" w:rsidP="00B535E6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955D0E" w:rsidRPr="00F72C3C" w:rsidTr="00B535E6">
        <w:trPr>
          <w:trHeight w:val="381"/>
        </w:trPr>
        <w:tc>
          <w:tcPr>
            <w:tcW w:w="5000" w:type="pct"/>
            <w:gridSpan w:val="3"/>
          </w:tcPr>
          <w:p w:rsidR="00955D0E" w:rsidRPr="00F72C3C" w:rsidRDefault="00955D0E" w:rsidP="00B535E6">
            <w:pPr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955D0E" w:rsidRPr="00F72C3C" w:rsidTr="00B535E6">
        <w:tc>
          <w:tcPr>
            <w:tcW w:w="1976" w:type="pct"/>
          </w:tcPr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 определять географические координаты листа карты заданного масштаба по ее номенклатуре;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по карте истинные азимуты и дирекционные углы заданных направлений;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рисовать рельеф местности по пикетам;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1575" w:type="pct"/>
          </w:tcPr>
          <w:p w:rsidR="00955D0E" w:rsidRPr="00F72C3C" w:rsidRDefault="00955D0E" w:rsidP="00B535E6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демонстрация умений: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– читать топографические карты и планы по условным знакам;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географические координаты листа карты заданного масштаба по ее номенклатуре;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 xml:space="preserve">– определять по карте истинные азимуты и дирекционные углы заданных направлений; – рисовать рельеф местности по пикетам; </w:t>
            </w:r>
          </w:p>
          <w:p w:rsidR="00955D0E" w:rsidRPr="00F72C3C" w:rsidRDefault="00955D0E" w:rsidP="00B535E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lang w:eastAsia="ru-RU"/>
              </w:rPr>
              <w:t>– решать прямую и обратную геодезические задачи.</w:t>
            </w:r>
          </w:p>
        </w:tc>
        <w:tc>
          <w:tcPr>
            <w:tcW w:w="1449" w:type="pct"/>
          </w:tcPr>
          <w:p w:rsidR="00955D0E" w:rsidRPr="00F72C3C" w:rsidRDefault="00955D0E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- наблюдение и анализ деятельности студентов в процессе выполнения практических и лабораторных работ;</w:t>
            </w:r>
          </w:p>
          <w:p w:rsidR="00955D0E" w:rsidRPr="00F72C3C" w:rsidRDefault="00955D0E" w:rsidP="00B535E6">
            <w:pPr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72C3C">
              <w:rPr>
                <w:rFonts w:ascii="Times New Roman" w:eastAsia="Times New Roman" w:hAnsi="Times New Roman"/>
                <w:bCs/>
                <w:lang w:eastAsia="ru-RU"/>
              </w:rPr>
              <w:t>-  анализ полученных знаний в процессе устного и письменного опроса, выполнения тестов;</w:t>
            </w:r>
          </w:p>
        </w:tc>
      </w:tr>
    </w:tbl>
    <w:p w:rsidR="00F90318" w:rsidRDefault="00F90318" w:rsidP="00B41C85">
      <w:pPr>
        <w:spacing w:after="0" w:line="360" w:lineRule="auto"/>
        <w:jc w:val="center"/>
      </w:pPr>
      <w:bookmarkStart w:id="0" w:name="_GoBack"/>
      <w:bookmarkEnd w:id="0"/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 xml:space="preserve"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</w:t>
            </w:r>
            <w:r w:rsidRPr="00092FF8">
              <w:rPr>
                <w:rFonts w:ascii="Times New Roman" w:hAnsi="Times New Roman"/>
              </w:rPr>
              <w:lastRenderedPageBreak/>
              <w:t>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lastRenderedPageBreak/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lastRenderedPageBreak/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 xml:space="preserve">подготовка и проведение колледжного этапа </w:t>
            </w:r>
            <w:r w:rsidRPr="00092FF8">
              <w:rPr>
                <w:rFonts w:ascii="Times New Roman" w:hAnsi="Times New Roman"/>
              </w:rPr>
              <w:lastRenderedPageBreak/>
              <w:t>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lastRenderedPageBreak/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Подготовка участников и организация участия в областном конкурсе на лучший 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86B" w:rsidRDefault="00A8186B" w:rsidP="004500E0">
      <w:pPr>
        <w:spacing w:after="0" w:line="240" w:lineRule="auto"/>
      </w:pPr>
      <w:r>
        <w:separator/>
      </w:r>
    </w:p>
  </w:endnote>
  <w:endnote w:type="continuationSeparator" w:id="1">
    <w:p w:rsidR="00A8186B" w:rsidRDefault="00A8186B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C0" w:rsidRDefault="00901B5F">
    <w:pPr>
      <w:pStyle w:val="a9"/>
      <w:jc w:val="center"/>
    </w:pPr>
    <w:r>
      <w:fldChar w:fldCharType="begin"/>
    </w:r>
    <w:r w:rsidR="00DB37C0">
      <w:instrText xml:space="preserve"> PAGE   \* MERGEFORMAT </w:instrText>
    </w:r>
    <w:r>
      <w:fldChar w:fldCharType="separate"/>
    </w:r>
    <w:r w:rsidR="001708D5">
      <w:rPr>
        <w:noProof/>
      </w:rPr>
      <w:t>11</w:t>
    </w:r>
    <w:r>
      <w:rPr>
        <w:noProof/>
      </w:rPr>
      <w:fldChar w:fldCharType="end"/>
    </w:r>
  </w:p>
  <w:p w:rsidR="00DB37C0" w:rsidRDefault="00DB37C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86B" w:rsidRDefault="00A8186B" w:rsidP="004500E0">
      <w:pPr>
        <w:spacing w:after="0" w:line="240" w:lineRule="auto"/>
      </w:pPr>
      <w:r>
        <w:separator/>
      </w:r>
    </w:p>
  </w:footnote>
  <w:footnote w:type="continuationSeparator" w:id="1">
    <w:p w:rsidR="00A8186B" w:rsidRDefault="00A8186B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782062"/>
    <w:multiLevelType w:val="hybridMultilevel"/>
    <w:tmpl w:val="813431C2"/>
    <w:lvl w:ilvl="0" w:tplc="5F06D60A">
      <w:start w:val="1"/>
      <w:numFmt w:val="decimal"/>
      <w:lvlText w:val="%1."/>
      <w:lvlJc w:val="left"/>
      <w:pPr>
        <w:ind w:left="39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A736506"/>
    <w:multiLevelType w:val="multilevel"/>
    <w:tmpl w:val="EFEA677C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2D03B7"/>
    <w:multiLevelType w:val="hybridMultilevel"/>
    <w:tmpl w:val="1926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9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1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11"/>
  </w:num>
  <w:num w:numId="8">
    <w:abstractNumId w:val="21"/>
  </w:num>
  <w:num w:numId="9">
    <w:abstractNumId w:val="16"/>
  </w:num>
  <w:num w:numId="10">
    <w:abstractNumId w:val="0"/>
  </w:num>
  <w:num w:numId="11">
    <w:abstractNumId w:val="15"/>
  </w:num>
  <w:num w:numId="12">
    <w:abstractNumId w:val="12"/>
  </w:num>
  <w:num w:numId="13">
    <w:abstractNumId w:val="10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19"/>
  </w:num>
  <w:num w:numId="18">
    <w:abstractNumId w:val="17"/>
  </w:num>
  <w:num w:numId="19">
    <w:abstractNumId w:val="18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08D5"/>
    <w:rsid w:val="001751D9"/>
    <w:rsid w:val="00193635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2E7DAB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33DF"/>
    <w:rsid w:val="003A73F2"/>
    <w:rsid w:val="003C2244"/>
    <w:rsid w:val="003C5FA0"/>
    <w:rsid w:val="003D24B2"/>
    <w:rsid w:val="003D3E5B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06AB4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5182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3B28"/>
    <w:rsid w:val="00894E06"/>
    <w:rsid w:val="008A2DBB"/>
    <w:rsid w:val="008A5E26"/>
    <w:rsid w:val="008B322E"/>
    <w:rsid w:val="008B38D7"/>
    <w:rsid w:val="008C2BA9"/>
    <w:rsid w:val="008C6BFA"/>
    <w:rsid w:val="00901B5F"/>
    <w:rsid w:val="00905D40"/>
    <w:rsid w:val="00906751"/>
    <w:rsid w:val="009128D1"/>
    <w:rsid w:val="009220AB"/>
    <w:rsid w:val="00922B29"/>
    <w:rsid w:val="0092348C"/>
    <w:rsid w:val="0094457B"/>
    <w:rsid w:val="009462E8"/>
    <w:rsid w:val="00955D0E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186B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  <w:rsid w:val="00FF1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%3A%2F%2FBOOK.RU&amp;el=snippe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AA84-C4A3-4EEB-B4A9-2C16AEF7C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12</Pages>
  <Words>2667</Words>
  <Characters>15208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17840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9</cp:revision>
  <cp:lastPrinted>2013-12-17T10:16:00Z</cp:lastPrinted>
  <dcterms:created xsi:type="dcterms:W3CDTF">2022-10-17T04:41:00Z</dcterms:created>
  <dcterms:modified xsi:type="dcterms:W3CDTF">2024-06-28T05:50:00Z</dcterms:modified>
</cp:coreProperties>
</file>